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2"/>
        <w:gridCol w:w="9638"/>
      </w:tblGrid>
      <w:tr>
        <w:trPr/>
        <w:tc>
          <w:tcPr>
            <w:tcW w:w="1702" w:type="dxa"/>
            <w:tcBorders/>
            <w:shd w:color="auto" w:fill="9B7B9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TÍTULO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suppressAutoHyphens w:val="true"/>
              <w:spacing w:lineRule="exact" w:line="280" w:before="0" w:after="0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s-ES_tradnl" w:eastAsia="en-US" w:bidi="ar-SA"/>
              </w:rPr>
              <w:t>Curso básico de formación en CHEMSEX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FECHAS</w:t>
            </w:r>
          </w:p>
        </w:tc>
        <w:tc>
          <w:tcPr>
            <w:tcW w:w="9638" w:type="dxa"/>
            <w:tcBorders/>
            <w:vAlign w:val="center"/>
          </w:tcPr>
          <w:p>
            <w:pPr>
              <w:pStyle w:val="CCuerpodetexto"/>
              <w:widowControl w:val="false"/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26 mayo-20 junio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LUGAR</w:t>
            </w:r>
          </w:p>
        </w:tc>
        <w:tc>
          <w:tcPr>
            <w:tcW w:w="9638" w:type="dxa"/>
            <w:tcBorders/>
            <w:vAlign w:val="center"/>
          </w:tcPr>
          <w:p>
            <w:pPr>
              <w:pStyle w:val="CCuerpodetexto"/>
              <w:widowControl w:val="false"/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Campus virtual EASP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MODALIDAD</w:t>
            </w:r>
          </w:p>
        </w:tc>
        <w:tc>
          <w:tcPr>
            <w:tcW w:w="9638" w:type="dxa"/>
            <w:tcBorders/>
            <w:vAlign w:val="center"/>
          </w:tcPr>
          <w:p>
            <w:pPr>
              <w:pStyle w:val="CCuerpodetexto"/>
              <w:widowControl w:val="false"/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Virtual masivo (MOOC)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DURACIÓN</w:t>
            </w:r>
          </w:p>
        </w:tc>
        <w:tc>
          <w:tcPr>
            <w:tcW w:w="9638" w:type="dxa"/>
            <w:tcBorders/>
            <w:vAlign w:val="center"/>
          </w:tcPr>
          <w:p>
            <w:pPr>
              <w:pStyle w:val="CCuerpodetexto"/>
              <w:widowControl w:val="false"/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17 horas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FFFF"/>
                <w:sz w:val="20"/>
                <w:szCs w:val="27"/>
                <w:lang w:eastAsia="es-ES"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DIRIGIDO A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Profesionales asistenciales de Atención Primaria del SSPA. 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Profesionales asistenciales de Atención Hospitalaria del SSPA, en relación con la atención a ITS, VIH, chemsex, PrEP, adicciones y/o salud mental.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Profesionales asistenciales de la Red Andaluza de Atención a la drogodependencia.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MIR del SSPA en relación con la atención a ITS, VIH, chemsex, PrEP, adicciones y/o salud mental. 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FFFF"/>
                <w:sz w:val="20"/>
                <w:szCs w:val="27"/>
                <w:lang w:eastAsia="es-ES"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INTRODUCCIÓN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sz w:val="20"/>
                <w:szCs w:val="20"/>
              </w:rPr>
            </w:pPr>
            <w:r>
              <w:rPr>
                <w:bCs/>
                <w:lang w:val="es-ES_tradnl" w:eastAsia="en-US" w:bidi="ar-SA"/>
              </w:rPr>
              <w:t>El fenómeno chemsex supone una preocupación social y sanitaria a nivel mundial. Las prácticas asociadas a esta actividad pueden tener graves impactos sobre la salud, tanto en la esfera de la salud sexual, como en la de las adicciones y salud mental, así como en la situación social y la salud general y bienestar de la persona. Con este curso se propone mejorar la sensibilización y comprensión del fenómeno del chemsex entre profesionales asistenciales del ámbito sanitario y social. Esta formación incluye conocimientos básicos que serán de utilidad para intervenciones de prevención y de reducción de riesgos, cribado, así como para canalizar el abordaje de las posibles consecuencias negativas derivadas de estas prácticas, con el fin de orientar la labor de los y las profesionales que tienen un papel en la respuesta a este fenómeno.</w:t>
            </w:r>
            <w:r>
              <w:rPr>
                <w:sz w:val="20"/>
                <w:szCs w:val="20"/>
                <w:lang w:val="es-ES" w:eastAsia="en-US" w:bidi="ar-SA"/>
              </w:rPr>
              <w:t xml:space="preserve">  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FFFF"/>
                <w:sz w:val="20"/>
                <w:szCs w:val="27"/>
                <w:lang w:eastAsia="es-ES"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OBJETIVOS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Mejorar la comprensión del fenómeno chemsex desde una mirada biopsicosocial, con enfoque de derechos, diversidad sexual y salud comunitaria. </w:t>
            </w:r>
          </w:p>
          <w:p>
            <w:pPr>
              <w:pStyle w:val="CCuerpodetexto"/>
              <w:widowControl w:val="false"/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         </w:t>
            </w:r>
            <w:r>
              <w:rPr>
                <w:bCs/>
                <w:lang w:val="es-ES_tradnl" w:eastAsia="en-US" w:bidi="ar-SA"/>
              </w:rPr>
              <w:t xml:space="preserve">Se espera que, al finalizar el curso, las personas participantes estén capacitadas para:  </w:t>
            </w:r>
          </w:p>
          <w:p>
            <w:pPr>
              <w:pStyle w:val="CCuerpodetexto"/>
              <w:widowControl w:val="false"/>
              <w:numPr>
                <w:ilvl w:val="0"/>
                <w:numId w:val="2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Comprender el fenómeno sociocultural del chemsex y su dimensión epidemiológica centrada en poblaciones clave, desde una perspectiva de diversidad sexual, corporal y de género no estigmatizante </w:t>
            </w:r>
          </w:p>
          <w:p>
            <w:pPr>
              <w:pStyle w:val="CCuerpodetexto"/>
              <w:widowControl w:val="false"/>
              <w:numPr>
                <w:ilvl w:val="0"/>
                <w:numId w:val="2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Identificar y analizar los principales patrones de consumo y riesgos asociados a las sustancias usadas en contextos de chemsex.</w:t>
            </w:r>
          </w:p>
          <w:p>
            <w:pPr>
              <w:pStyle w:val="CCuerpodetexto"/>
              <w:widowControl w:val="false"/>
              <w:numPr>
                <w:ilvl w:val="0"/>
                <w:numId w:val="2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Reconocer herramientas de comunicación, entrevista clínica (basada en la confianza, respeto y escucha activa) y exploración de la historia sexual y hábitos de consumo de sustancias, así como habilidades de identificación de necesidades de salud integral (sexual, mental y emocional).</w:t>
            </w:r>
          </w:p>
          <w:p>
            <w:pPr>
              <w:pStyle w:val="CCuerpodetexto"/>
              <w:widowControl w:val="false"/>
              <w:numPr>
                <w:ilvl w:val="0"/>
                <w:numId w:val="2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Reconocer el modelo de acompañamiento continuado centrado en la persona y el consejo asistido como recurso de comunicación y seguimiento de pacientes involucrados en la práctica de chemsex.  </w:t>
            </w:r>
          </w:p>
          <w:p>
            <w:pPr>
              <w:pStyle w:val="CCuerpodetexto"/>
              <w:widowControl w:val="false"/>
              <w:numPr>
                <w:ilvl w:val="0"/>
                <w:numId w:val="2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Reconocer recursos asistenciales y comunitarios para el abordaje del fenómeno chemsex. 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FFFF"/>
                <w:sz w:val="20"/>
                <w:szCs w:val="27"/>
                <w:lang w:eastAsia="es-ES"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CONTENIDOS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" w:eastAsia="en-US" w:bidi="ar-SA"/>
              </w:rPr>
              <w:t>Módulo 1: Introducción al chemsex.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" w:eastAsia="en-US" w:bidi="ar-SA"/>
              </w:rPr>
              <w:t>Módulo 2: Sustancias en la práctica del chemsex.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" w:eastAsia="en-US" w:bidi="ar-SA"/>
              </w:rPr>
              <w:t>Módulo 3: Aproximación al cribado en chemsex y condiciones asociadas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" w:eastAsia="en-US" w:bidi="ar-SA"/>
              </w:rPr>
              <w:t>Módulo 4: Consejo asistido, acompañamiento, seguimiento a lo largo del tiempo.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" w:eastAsia="en-US" w:bidi="ar-SA"/>
              </w:rPr>
              <w:t>Módulo 5: Recursos sanitarios y comunitarios para el abordaje del chemsex.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FFFF"/>
                <w:sz w:val="20"/>
                <w:szCs w:val="27"/>
                <w:lang w:eastAsia="es-ES"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METODOLOGÍA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Revisión de materiales didácticos escritos y audiovisuales.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Consulta de potenciales dudas en foro virtual.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 xml:space="preserve">Autoidentificación de expectativas iniciales y principales aprendizajes concluidos a través de cuestionario abierto. 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rFonts w:cs="Arial"/>
                <w:sz w:val="20"/>
                <w:szCs w:val="20"/>
              </w:rPr>
            </w:pPr>
            <w:r>
              <w:rPr>
                <w:bCs/>
                <w:lang w:val="es-ES_tradnl" w:eastAsia="en-US" w:bidi="ar-SA"/>
              </w:rPr>
              <w:t>Valoración del autoconocimiento a través de cuestionario estructurado.</w:t>
            </w:r>
          </w:p>
        </w:tc>
      </w:tr>
      <w:tr>
        <w:trPr/>
        <w:tc>
          <w:tcPr>
            <w:tcW w:w="1702" w:type="dxa"/>
            <w:tcBorders/>
            <w:shd w:color="auto" w:fill="9B7B92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Times New Roman" w:cs="Calibri" w:cstheme="minorHAnsi"/>
                <w:b/>
                <w:b/>
                <w:bCs/>
                <w:color w:val="FFFFFF"/>
                <w:sz w:val="20"/>
                <w:szCs w:val="27"/>
                <w:lang w:eastAsia="es-ES"/>
              </w:rPr>
            </w:pPr>
            <w:r>
              <w:rPr>
                <w:rFonts w:eastAsia="Times New Roman" w:cs="Calibri" w:cstheme="minorHAnsi"/>
                <w:b/>
                <w:bCs/>
                <w:color w:val="FFFFFF"/>
                <w:kern w:val="2"/>
                <w:sz w:val="20"/>
                <w:szCs w:val="27"/>
                <w:lang w:val="es-ES" w:eastAsia="es-ES" w:bidi="ar-SA"/>
              </w:rPr>
              <w:t>EVALUACIÓN</w:t>
            </w:r>
          </w:p>
        </w:tc>
        <w:tc>
          <w:tcPr>
            <w:tcW w:w="9638" w:type="dxa"/>
            <w:tcBorders/>
          </w:tcPr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Evaluación de expectativas iniciales.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Evaluación de aprendizaje percibido.</w:t>
            </w:r>
          </w:p>
          <w:p>
            <w:pPr>
              <w:pStyle w:val="CCuerpodetexto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rPr>
                <w:bCs/>
                <w:lang w:val="es-ES_tradnl"/>
              </w:rPr>
            </w:pPr>
            <w:r>
              <w:rPr>
                <w:bCs/>
                <w:lang w:val="es-ES_tradnl" w:eastAsia="en-US" w:bidi="ar-SA"/>
              </w:rPr>
              <w:t>Evaluación de conocimiento.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spacing w:lineRule="exact" w:line="280" w:before="0" w:after="0"/>
              <w:jc w:val="left"/>
              <w:rPr>
                <w:rFonts w:ascii="Noto Sans HK" w:hAnsi="Noto Sans HK" w:eastAsia="Noto Sans HK" w:cs="NotoSansHK-Regular"/>
                <w:bCs/>
                <w:kern w:val="0"/>
                <w:sz w:val="18"/>
                <w:szCs w:val="18"/>
                <w:lang w:val="es-ES_tradnl"/>
                <w14:ligatures w14:val="none"/>
              </w:rPr>
            </w:pPr>
            <w:r>
              <w:rPr>
                <w:rFonts w:eastAsia="Noto Sans HK" w:cs="NotoSansHK-Regular" w:ascii="Noto Sans HK" w:hAnsi="Noto Sans HK"/>
                <w:bCs/>
                <w:kern w:val="0"/>
                <w:sz w:val="18"/>
                <w:szCs w:val="18"/>
                <w:lang w:val="es-ES_tradnl" w:eastAsia="en-US" w:bidi="ar-SA"/>
                <w14:ligatures w14:val="none"/>
              </w:rPr>
              <w:t>Evaluación de la calidad docente.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Noto Sans HK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s-ES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f630f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30f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30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30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30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30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30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30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30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f630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f630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f630f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f630ff"/>
    <w:rPr>
      <w:rFonts w:eastAsia="" w:cs="" w:cstheme="majorBidi" w:eastAsiaTheme="majorEastAsia"/>
      <w:i/>
      <w:iCs/>
      <w:color w:val="2F5496" w:themeColor="accent1" w:themeShade="bf"/>
    </w:rPr>
  </w:style>
  <w:style w:type="character" w:styleId="Ttulo5Car" w:customStyle="1">
    <w:name w:val="Título 5 Car"/>
    <w:basedOn w:val="DefaultParagraphFont"/>
    <w:uiPriority w:val="9"/>
    <w:semiHidden/>
    <w:qFormat/>
    <w:rsid w:val="00f630ff"/>
    <w:rPr>
      <w:rFonts w:eastAsia="" w:cs="" w:cstheme="majorBidi" w:eastAsiaTheme="majorEastAsia"/>
      <w:color w:val="2F5496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f630ff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ar" w:customStyle="1">
    <w:name w:val="Título 7 Car"/>
    <w:basedOn w:val="DefaultParagraphFont"/>
    <w:uiPriority w:val="9"/>
    <w:semiHidden/>
    <w:qFormat/>
    <w:rsid w:val="00f630ff"/>
    <w:rPr>
      <w:rFonts w:eastAsia="" w:cs="" w:cstheme="majorBidi" w:eastAsiaTheme="majorEastAsia"/>
      <w:color w:val="595959" w:themeColor="text1" w:themeTint="a6"/>
    </w:rPr>
  </w:style>
  <w:style w:type="character" w:styleId="Ttulo8Car" w:customStyle="1">
    <w:name w:val="Título 8 Car"/>
    <w:basedOn w:val="DefaultParagraphFont"/>
    <w:uiPriority w:val="9"/>
    <w:semiHidden/>
    <w:qFormat/>
    <w:rsid w:val="00f630ff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ar" w:customStyle="1">
    <w:name w:val="Título 9 Car"/>
    <w:basedOn w:val="DefaultParagraphFont"/>
    <w:uiPriority w:val="9"/>
    <w:semiHidden/>
    <w:qFormat/>
    <w:rsid w:val="00f630ff"/>
    <w:rPr>
      <w:rFonts w:eastAsia="" w:cs="" w:cstheme="majorBidi" w:eastAsiaTheme="majorEastAsia"/>
      <w:color w:val="272727" w:themeColor="text1" w:themeTint="d8"/>
    </w:rPr>
  </w:style>
  <w:style w:type="character" w:styleId="TtuloCar" w:customStyle="1">
    <w:name w:val="Título Car"/>
    <w:basedOn w:val="DefaultParagraphFont"/>
    <w:uiPriority w:val="10"/>
    <w:qFormat/>
    <w:rsid w:val="00f630f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f630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f630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30ff"/>
    <w:rPr>
      <w:i/>
      <w:iCs/>
      <w:color w:val="2F5496" w:themeColor="accent1" w:themeShade="bf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f630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0ff"/>
    <w:rPr>
      <w:b/>
      <w:bCs/>
      <w:smallCaps/>
      <w:color w:val="2F5496" w:themeColor="accent1" w:themeShade="bf"/>
      <w:spacing w:val="5"/>
    </w:rPr>
  </w:style>
  <w:style w:type="character" w:styleId="CCuerpodetextoCar" w:customStyle="1">
    <w:name w:val="CCuerpo de texto Car"/>
    <w:link w:val="CCuerpodetexto"/>
    <w:qFormat/>
    <w:rsid w:val="00f97368"/>
    <w:rPr>
      <w:rFonts w:ascii="Noto Sans HK" w:hAnsi="Noto Sans HK" w:eastAsia="Noto Sans HK" w:cs="NotoSansHK-Regular"/>
      <w:kern w:val="0"/>
      <w:sz w:val="18"/>
      <w:szCs w:val="18"/>
      <w14:ligatures w14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55d2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semiHidden/>
    <w:qFormat/>
    <w:rsid w:val="00b455d2"/>
    <w:rPr>
      <w:rFonts w:ascii="Times New Roman" w:hAnsi="Times New Roman" w:eastAsia="Times New Roman" w:cs="Times New Roman"/>
      <w:kern w:val="0"/>
      <w:sz w:val="20"/>
      <w:szCs w:val="20"/>
      <w:lang w:eastAsia="es-ES_tradnl"/>
      <w14:ligatures w14:val="none"/>
    </w:rPr>
  </w:style>
  <w:style w:type="character" w:styleId="TextocomentarioCar1" w:customStyle="1">
    <w:name w:val="Texto comentario Car1"/>
    <w:basedOn w:val="DefaultParagraphFont"/>
    <w:uiPriority w:val="99"/>
    <w:semiHidden/>
    <w:qFormat/>
    <w:rsid w:val="00b455d2"/>
    <w:rPr>
      <w:sz w:val="20"/>
      <w:szCs w:val="20"/>
    </w:rPr>
  </w:style>
  <w:style w:type="character" w:styleId="Destaquemayor" w:customStyle="1">
    <w:name w:val="Destaque mayor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next w:val="Cuerpodetexto"/>
    <w:link w:val="TtuloCar"/>
    <w:uiPriority w:val="10"/>
    <w:qFormat/>
    <w:rsid w:val="00f630f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f630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f630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630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f630f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Cuerpodetexto" w:customStyle="1">
    <w:name w:val="CCuerpo de texto"/>
    <w:basedOn w:val="Normal"/>
    <w:link w:val="CCuerpodetextoCar"/>
    <w:qFormat/>
    <w:rsid w:val="00f97368"/>
    <w:pPr>
      <w:spacing w:lineRule="auto" w:line="240" w:before="0" w:after="120"/>
      <w:jc w:val="both"/>
    </w:pPr>
    <w:rPr>
      <w:rFonts w:ascii="Noto Sans HK" w:hAnsi="Noto Sans HK" w:eastAsia="Noto Sans HK" w:cs="NotoSansHK-Regular"/>
      <w:kern w:val="0"/>
      <w:sz w:val="18"/>
      <w:szCs w:val="18"/>
      <w14:ligatures w14:val="none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b455d2"/>
    <w:pPr>
      <w:spacing w:lineRule="auto" w:line="240" w:before="0" w:after="0"/>
    </w:pPr>
    <w:rPr>
      <w:rFonts w:ascii="Times New Roman" w:hAnsi="Times New Roman" w:eastAsia="Times New Roman" w:cs="Times New Roman"/>
      <w:kern w:val="0"/>
      <w:sz w:val="20"/>
      <w:szCs w:val="20"/>
      <w:lang w:eastAsia="es-ES_tradnl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630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LibreOffice/7.3.6.2$Windows_X86_64 LibreOffice_project/c28ca90fd6e1a19e189fc16c05f8f8924961e12e</Application>
  <AppVersion>15.0000</AppVersion>
  <Pages>1</Pages>
  <Words>496</Words>
  <Characters>2840</Characters>
  <CharactersWithSpaces>3292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2025-04-11T12:20:00Z</dcterms:created>
  <dc:creator>Gracia Maroto Navarro</dc:creator>
  <dc:description/>
  <dc:language>es-ES_tradnl</dc:language>
  <cp:lastModifiedBy>Gracia Maroto Navarro</cp:lastModifiedBy>
  <dcterms:modified xsi:type="dcterms:W3CDTF">2025-04-11T12:31:00Z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